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5E33AF" w:rsidP="005E33AF">
      <w:pPr>
        <w:spacing w:after="0" w:line="480" w:lineRule="auto"/>
        <w:rPr>
          <w:rFonts w:ascii="Times New Roman" w:eastAsia="Times New Roman" w:hAnsi="Times New Roman" w:cs="Times New Roman"/>
          <w:color w:val="2D2D2D"/>
          <w:sz w:val="24"/>
          <w:szCs w:val="24"/>
          <w:lang w:val="en-CA"/>
        </w:rPr>
      </w:pPr>
      <w:r w:rsidRPr="005E33AF">
        <w:rPr>
          <w:rFonts w:ascii="Times New Roman" w:eastAsia="Times New Roman" w:hAnsi="Times New Roman" w:cs="Times New Roman"/>
          <w:b/>
          <w:bCs/>
          <w:color w:val="0E101A"/>
          <w:sz w:val="24"/>
          <w:szCs w:val="24"/>
        </w:rPr>
        <w:t xml:space="preserve">                           </w:t>
      </w:r>
      <w:r w:rsidR="00AE1111" w:rsidRPr="005E33AF">
        <w:rPr>
          <w:rFonts w:ascii="Times New Roman" w:eastAsia="Times New Roman" w:hAnsi="Times New Roman" w:cs="Times New Roman"/>
          <w:color w:val="2D2D2D"/>
          <w:sz w:val="24"/>
          <w:szCs w:val="24"/>
          <w:lang w:val="en-CA"/>
        </w:rPr>
        <w:t>Issues</w:t>
      </w:r>
      <w:r w:rsidR="00AE1111" w:rsidRPr="005E33AF">
        <w:rPr>
          <w:rFonts w:ascii="Times New Roman" w:eastAsia="Times New Roman" w:hAnsi="Times New Roman" w:cs="Times New Roman"/>
          <w:color w:val="2D2D2D"/>
          <w:sz w:val="24"/>
          <w:szCs w:val="24"/>
          <w:lang w:val="en-CA"/>
        </w:rPr>
        <w:t xml:space="preserve"> relating to internal stakeholders and internal forces in organizations</w:t>
      </w:r>
    </w:p>
    <w:p w:rsidR="00AE1111" w:rsidRPr="005E33AF" w:rsidRDefault="00AE1111" w:rsidP="005E33AF">
      <w:pPr>
        <w:spacing w:after="0" w:line="480" w:lineRule="auto"/>
        <w:rPr>
          <w:rFonts w:ascii="Times New Roman" w:eastAsia="Times New Roman" w:hAnsi="Times New Roman" w:cs="Times New Roman"/>
          <w:color w:val="2D2D2D"/>
          <w:sz w:val="24"/>
          <w:szCs w:val="24"/>
          <w:lang w:val="en-CA"/>
        </w:rPr>
      </w:pPr>
      <w:r w:rsidRPr="005E33AF">
        <w:rPr>
          <w:rFonts w:ascii="Times New Roman" w:eastAsia="Times New Roman" w:hAnsi="Times New Roman" w:cs="Times New Roman"/>
          <w:color w:val="2D2D2D"/>
          <w:sz w:val="24"/>
          <w:szCs w:val="24"/>
          <w:lang w:val="en-CA"/>
        </w:rPr>
        <w:t xml:space="preserve">                                                         </w:t>
      </w:r>
      <w:r w:rsidR="005E33AF" w:rsidRPr="005E33AF">
        <w:rPr>
          <w:rFonts w:ascii="Times New Roman" w:eastAsia="Times New Roman" w:hAnsi="Times New Roman" w:cs="Times New Roman"/>
          <w:color w:val="2D2D2D"/>
          <w:sz w:val="24"/>
          <w:szCs w:val="24"/>
          <w:lang w:val="en-CA"/>
        </w:rPr>
        <w:t xml:space="preserve">        </w:t>
      </w:r>
      <w:r w:rsidRPr="005E33AF">
        <w:rPr>
          <w:rFonts w:ascii="Times New Roman" w:eastAsia="Times New Roman" w:hAnsi="Times New Roman" w:cs="Times New Roman"/>
          <w:color w:val="2D2D2D"/>
          <w:sz w:val="24"/>
          <w:szCs w:val="24"/>
          <w:lang w:val="en-CA"/>
        </w:rPr>
        <w:t xml:space="preserve">  Students name:</w:t>
      </w: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r w:rsidRPr="005E33AF">
        <w:rPr>
          <w:rFonts w:ascii="Times New Roman" w:eastAsia="Times New Roman" w:hAnsi="Times New Roman" w:cs="Times New Roman"/>
          <w:color w:val="2D2D2D"/>
          <w:sz w:val="24"/>
          <w:szCs w:val="24"/>
          <w:lang w:val="en-CA"/>
        </w:rPr>
        <w:t xml:space="preserve">                                                           </w:t>
      </w:r>
      <w:r w:rsidR="005E33AF" w:rsidRPr="005E33AF">
        <w:rPr>
          <w:rFonts w:ascii="Times New Roman" w:eastAsia="Times New Roman" w:hAnsi="Times New Roman" w:cs="Times New Roman"/>
          <w:color w:val="2D2D2D"/>
          <w:sz w:val="24"/>
          <w:szCs w:val="24"/>
          <w:lang w:val="en-CA"/>
        </w:rPr>
        <w:t xml:space="preserve">      </w:t>
      </w:r>
      <w:r w:rsidRPr="005E33AF">
        <w:rPr>
          <w:rFonts w:ascii="Times New Roman" w:eastAsia="Times New Roman" w:hAnsi="Times New Roman" w:cs="Times New Roman"/>
          <w:color w:val="2D2D2D"/>
          <w:sz w:val="24"/>
          <w:szCs w:val="24"/>
          <w:lang w:val="en-CA"/>
        </w:rPr>
        <w:t xml:space="preserve">   Institutional affiliation:</w:t>
      </w: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5E33AF" w:rsidRPr="005E33AF" w:rsidRDefault="005E33AF" w:rsidP="005E33AF">
      <w:pPr>
        <w:spacing w:after="0" w:line="480" w:lineRule="auto"/>
        <w:rPr>
          <w:rFonts w:ascii="Times New Roman" w:eastAsia="Times New Roman" w:hAnsi="Times New Roman" w:cs="Times New Roman"/>
          <w:b/>
          <w:bCs/>
          <w:color w:val="0E101A"/>
          <w:sz w:val="24"/>
          <w:szCs w:val="24"/>
        </w:rPr>
      </w:pP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5E33AF">
        <w:rPr>
          <w:rFonts w:ascii="Times New Roman" w:eastAsia="Times New Roman" w:hAnsi="Times New Roman" w:cs="Times New Roman"/>
          <w:b/>
          <w:bCs/>
          <w:color w:val="0E101A"/>
          <w:sz w:val="24"/>
          <w:szCs w:val="24"/>
        </w:rPr>
        <w:lastRenderedPageBreak/>
        <w:t> Part A</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5E33AF">
        <w:rPr>
          <w:rFonts w:ascii="Times New Roman" w:eastAsia="Times New Roman" w:hAnsi="Times New Roman" w:cs="Times New Roman"/>
          <w:b/>
          <w:bCs/>
          <w:color w:val="0E101A"/>
          <w:sz w:val="24"/>
          <w:szCs w:val="24"/>
        </w:rPr>
        <w:t>Question 1</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Diversity in the workplace would mean that a company’s workforce includes people of varying characteristics. Therefore being an unauthorized immigrant can be termed as a form of work diversity since it brings about varied human characteristics of unauthorized residents and working status. An unauthorized immigrant is similar to other types of workplace diversity since it represents variations in the important human characteristics in the workplace.</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An unauthorized immigrant is however different from other types of workplace diversity. Being an unauthorized immigrant is against the laws of the host country as outlined in the case study of this chapter. While all other types of workplace diversity are legitimate, unauthorized immigrants are not. Unauthorized immigrants have to use some illegal measures to live in the host country such as using corrupt measures to cross the border or overstaying temporary visas. Being an unauthorized immigrant is also unethical since it means one obtains the job in a dishonesty manner.it also encourages com[anise like chipotle Mexican grills restaurants to unethically and illegally hire, exploit and also make false paper works for workers who are unauthorized immigrants.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5E33AF">
        <w:rPr>
          <w:rFonts w:ascii="Times New Roman" w:eastAsia="Times New Roman" w:hAnsi="Times New Roman" w:cs="Times New Roman"/>
          <w:b/>
          <w:bCs/>
          <w:color w:val="0E101A"/>
          <w:sz w:val="24"/>
          <w:szCs w:val="24"/>
        </w:rPr>
        <w:t>Question 2</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Since most of the unauthorized immigrants are exploited in terms of payments as discussed in this chapter, this reduces payroll expenses and thus increases profit. This benefits internal stakeholders such as the management of the company and creditors on a short-term basis. If the company decides to reduce products and services prices after reducing the payroll expenses then the customers benefit.</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lastRenderedPageBreak/>
        <w:t>Domestic employees and legal immigrants are hurt when a company hires unauthorized immigrants, because they may end up losing their jobs to the low paid unauthorized immigrants. Their chances of getting promotions and pay rise diminishes. This will, in turn, affect the local communities and the local governments as well since less money will be spent in local businesses and thus fewer tax returns.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5E33AF" w:rsidRDefault="00AE1111" w:rsidP="005E33AF">
      <w:pPr>
        <w:spacing w:after="0" w:line="480" w:lineRule="auto"/>
        <w:rPr>
          <w:rFonts w:ascii="Times New Roman" w:eastAsia="Times New Roman" w:hAnsi="Times New Roman" w:cs="Times New Roman"/>
          <w:b/>
          <w:bCs/>
          <w:color w:val="0E101A"/>
          <w:sz w:val="24"/>
          <w:szCs w:val="24"/>
        </w:rPr>
      </w:pP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5E33AF">
        <w:rPr>
          <w:rFonts w:ascii="Times New Roman" w:eastAsia="Times New Roman" w:hAnsi="Times New Roman" w:cs="Times New Roman"/>
          <w:b/>
          <w:bCs/>
          <w:color w:val="0E101A"/>
          <w:sz w:val="24"/>
          <w:szCs w:val="24"/>
        </w:rPr>
        <w:t>Part 2</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5E33AF">
        <w:rPr>
          <w:rFonts w:ascii="Times New Roman" w:eastAsia="Times New Roman" w:hAnsi="Times New Roman" w:cs="Times New Roman"/>
          <w:b/>
          <w:bCs/>
          <w:color w:val="0E101A"/>
          <w:sz w:val="24"/>
          <w:szCs w:val="24"/>
        </w:rPr>
        <w:t>Merck, the FDA, and the Vioxx recall</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5E33AF">
        <w:rPr>
          <w:rFonts w:ascii="Times New Roman" w:eastAsia="Times New Roman" w:hAnsi="Times New Roman" w:cs="Times New Roman"/>
          <w:b/>
          <w:bCs/>
          <w:color w:val="0E101A"/>
          <w:sz w:val="24"/>
          <w:szCs w:val="24"/>
        </w:rPr>
        <w:t>Question 1</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Corporate Social Responsibility is a management concept whereby companies integrate social and environmental concerns in their business operations and interactions with their stakeholders. CSR is generally understood as being the way through which a company achieves a balance of economic, environmental and social imperatives, while at the same time addressing the expectations of shareholders and stakeholders (Braendle and Noll, 2005). Based on the definition of CSR, I believe Merck did not act in a socially and responsible manner in regard to the development and testing of Vioxx because the company failed to ensure consumers who are the patients benefit from its actions but instead put their life’s at risk by not ensuring that those that could be harmed by the drug did not purchase it.</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xml:space="preserve"> The dangerous shortcomings of Vioxx had been discovered during the early stages of its development in 1997 when one of Merck’s scientists admitted that the medicine’s side-effect on heart and blood vessels was very serious and dangerous. , a study was later carried out on Vioxx’s side-effects, Merck’s research director and presumably all the major decision-making personnel had learned about its potentially lethal risks. However, even after the company realized that Vioxx’s cardiovascular side-effect, its management neither disclosed the lethal side-effect to the general public nor took actions such as improving the medicine’s formula to eliminate the side-effect. The most socially irresponsible scenario was when FDA expressed its concerns over the issue and asked Merck to at least add a necessary warning to Vioxx’s label, Merck did not cooperate willingly and tried its best to delay the addition of the warning and </w:t>
      </w:r>
      <w:r w:rsidRPr="00AE1111">
        <w:rPr>
          <w:rFonts w:ascii="Times New Roman" w:eastAsia="Times New Roman" w:hAnsi="Times New Roman" w:cs="Times New Roman"/>
          <w:color w:val="0E101A"/>
          <w:sz w:val="24"/>
          <w:szCs w:val="24"/>
        </w:rPr>
        <w:lastRenderedPageBreak/>
        <w:t>reduce its warning effect, thereby exposing thousands of its vulnerable customers with heart and blood vessel issues to life-threatening harms.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Transparency and disclosure are closely associated with good corporate governance and corporate social responsibility, the level of transparency and disclosure gives off the real ethics and values of a corporation and if a company fails to disclose adequate information, it might be trying to hide certain unethical actions. Nevertheless, during the Vioxx’s development transparency is almost nonexistent, and this complete lack of transparency indicates that Merck has a very bad corporate governance and has no sense of social responsibility. More importantly, what makes Merck look even more unethical and socially irresponsibly is the fact that the issues Merck tried to mask during the development of Vioxx are not some ordinary quality issues but life-threatening product defects.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Pharmaceutical companies are very key because their products directly impact people’s health and many of its customers are patients shaving critical health problems. Therefore, pharmaceutical corporations like Merck should have taken higher social responsibility than most other businesses and should have an effective internal governance mechanism that ensures they operate in a socially responsible manner. However, as we can see in the Vioxx case, Merck’s corporate governance was almost solely economically driven and had no infernal force to make sure the management takes socially responsible actions when issues that might badly harm the society were discovered. Instead of becoming accountable for any of its actions that affect people and the society, during the development of Vioxx Merck disgracefully tried its best to shirk its accountability and responsibility for the stakeholders at risk to the point of being reluctant to even allow warning of lethal risks for its customers.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lastRenderedPageBreak/>
        <w:t>     In my opinion, the major reason why Merck acted so socially irresponsible during the development phase of Vioxx is that the corporation’s governance focused only on financia</w:t>
      </w:r>
      <w:bookmarkStart w:id="0" w:name="_GoBack"/>
      <w:bookmarkEnd w:id="0"/>
      <w:r w:rsidRPr="00AE1111">
        <w:rPr>
          <w:rFonts w:ascii="Times New Roman" w:eastAsia="Times New Roman" w:hAnsi="Times New Roman" w:cs="Times New Roman"/>
          <w:color w:val="0E101A"/>
          <w:sz w:val="24"/>
          <w:szCs w:val="24"/>
        </w:rPr>
        <w:t>l issues and its research activities were almost completely economically driven. Although serious life-threatening defect of the product in development was discovered during research, Merck was too concerned about its hundreds of millions of dollars invested into the development of Vioxx to realize hiding Vioxx’s safety issues would cost the society more than any amount of money could compare to, human lives, and would cost the company financially much more than the lost research and development costs in the future after the defects were exposed by external stakeholders such as the media and the government agencies.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AE1111" w:rsidRPr="00AE1111" w:rsidRDefault="005E33AF" w:rsidP="005E33AF">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 xml:space="preserve">2. </w:t>
      </w:r>
      <w:r w:rsidR="00AE1111" w:rsidRPr="005E33AF">
        <w:rPr>
          <w:rFonts w:ascii="Times New Roman" w:eastAsia="Times New Roman" w:hAnsi="Times New Roman" w:cs="Times New Roman"/>
          <w:b/>
          <w:bCs/>
          <w:color w:val="0E101A"/>
          <w:sz w:val="24"/>
          <w:szCs w:val="24"/>
        </w:rPr>
        <w:t>Social responsibility issues regarding relations with customers and shareholders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5E33AF">
        <w:rPr>
          <w:rFonts w:ascii="Times New Roman" w:eastAsia="Times New Roman" w:hAnsi="Times New Roman" w:cs="Times New Roman"/>
          <w:b/>
          <w:bCs/>
          <w:color w:val="0E101A"/>
          <w:sz w:val="24"/>
          <w:szCs w:val="24"/>
        </w:rPr>
        <w:t>  </w:t>
      </w:r>
      <w:r w:rsidRPr="00AE1111">
        <w:rPr>
          <w:rFonts w:ascii="Times New Roman" w:eastAsia="Times New Roman" w:hAnsi="Times New Roman" w:cs="Times New Roman"/>
          <w:color w:val="0E101A"/>
          <w:sz w:val="24"/>
          <w:szCs w:val="24"/>
        </w:rPr>
        <w:t>Safeguarding consumers while continuing to supply them with the goods and services they want, at the prices they want, is a prime social responsibility of business (Braendle and Noll, 2005). Therefore, the standard of social responsibility regarding relations with customers should be supplying customers with safe and quality products and services at a reasonable price. However, from the case of Vioxx, it is clearly evident that Merck acted in a very unethical and socially irresponsible manner regarding its relations with its customers before the final recall of Vioxx.</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xml:space="preserve">Product safety should be the bottom line of social responsibility with respect to customers, but Merck pushed Vioxx into the market and advertised the product heavily knowing there is a significant safety issue with the product which could even kill some of its customers. Moreover, according to the case text, “price of Vioxx was around $3.00 per pill, compared with pennies per pill for older anti-inflammatory drugs like aspirin and Advil”. In other words, Merck not only </w:t>
      </w:r>
      <w:r w:rsidRPr="00AE1111">
        <w:rPr>
          <w:rFonts w:ascii="Times New Roman" w:eastAsia="Times New Roman" w:hAnsi="Times New Roman" w:cs="Times New Roman"/>
          <w:color w:val="0E101A"/>
          <w:sz w:val="24"/>
          <w:szCs w:val="24"/>
        </w:rPr>
        <w:lastRenderedPageBreak/>
        <w:t>pushed a dangerously flawed product into the market, but it also put an unreasonably hefty price tag onto it, making its practice even farther from the basic social responsibility requirements (Lawrence &amp; Weber, 2014). Also, as already discussed in the preceding section, Merck tried to avoid and minimize the warming of the safety risks on the product’s label, and, considering Merck marketed Vioxx heavily and directly to the customers as well, Merck obviously lied to its customers and tried to trick its customers to buy a dangerous, overpriced, and falsely labeled product.</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Also mentioned earlier is Merck’s serious lack of transparency, and this complete lack of transparency is not only toward customers and other external stakeholders but toward Merck’s shareholders as well, because the shareholders were not provided with adequate and truthful information about Vioxx before it was released into the market either. However, what is more, important is that Merck’s research and development division and its management failed to act as responsible fiduciaries of the shareholders of Merck and to safeguard their long-term interests because they released a terribly flawed product into the market. The research and development personnel and the management know product defects might be exposed in the future causing big share price drop and big economic losses to the shareholders, but they release the product anyways, showing they lack the basic sense of responsibility to the shareholders.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AE1111" w:rsidRPr="00AE1111" w:rsidRDefault="005E33AF" w:rsidP="005E33AF">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 xml:space="preserve">3. </w:t>
      </w:r>
      <w:r w:rsidR="00AE1111" w:rsidRPr="005E33AF">
        <w:rPr>
          <w:rFonts w:ascii="Times New Roman" w:eastAsia="Times New Roman" w:hAnsi="Times New Roman" w:cs="Times New Roman"/>
          <w:b/>
          <w:bCs/>
          <w:color w:val="0E101A"/>
          <w:sz w:val="24"/>
          <w:szCs w:val="24"/>
        </w:rPr>
        <w:t>Social responsibility issues regarding the marketing and advertising of Vioxx </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xml:space="preserve">Right and truthful advertising and disclosure of information about health and safety issues of products are significant for good consumer protection, and health and safety issues are a prime issue associated with information rights relating to product and ingredient labeling (Braendle and Noll, 2005). As to Vioxx, Merck not only did not truthfully disclose its side-effects but also tried </w:t>
      </w:r>
      <w:r w:rsidRPr="00AE1111">
        <w:rPr>
          <w:rFonts w:ascii="Times New Roman" w:eastAsia="Times New Roman" w:hAnsi="Times New Roman" w:cs="Times New Roman"/>
          <w:color w:val="0E101A"/>
          <w:sz w:val="24"/>
          <w:szCs w:val="24"/>
        </w:rPr>
        <w:lastRenderedPageBreak/>
        <w:t>its best to delay and downplay the warning that should be added to the product’s label. Making the situation worse, Merck spent hundreds of millions of dollars doing direct-to-consumer advertisements without mentioning Vioxx’s dangerous side-effect, which can be considered a form of false advertising. Therefore, Merck acted very socially irresponsibly with regard to the marketing and advertising of Vioxx.</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On one hand, the problem of direct-to-consumer advertising of medicines is that there is always an information asymmetry between consumers and pharmaceutical companies. Pharmaceutical professionals and doctors are professionals who are aware of the real composition of the effects of a medicine and would not be fooled by false, exaggerated, or incomplete information usually contained in commercial advertisements. However, most consumers do not have the professional knowledge to really understand the pros and cons of medicine and could be easily tricked by direct-to-consumer advertisements to believe that medicines being advertised are perfectly the same or have little side-effects. While direct-to-consumer advertising should be deemed inappropriate for all kinds of medicines, it is particularly unacceptable and condemnable to intensely advertise a medicine that has very dangerous side-effects directly to the consumers with little or no mention of its flaws.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xml:space="preserve">     On the other hand, it is implied in the “The Blockbuster Model” part of the case, Merck, like many other pharmaceutical companies, engaged in marketing and promotion activities toward doctors that are unethical since it was giving pressure to the doctors to administer their drugs. These marketing and promotion activities include giving doctors gifts and other fringe benefits, providing doctors with continuing education events which are indeed promotion events for Vioxx, and direct financial support for doctors who recommend Vioxx to the patients. These marketing and promotion activities are apparently unethical and socially irresponsible because </w:t>
      </w:r>
      <w:r w:rsidRPr="00AE1111">
        <w:rPr>
          <w:rFonts w:ascii="Times New Roman" w:eastAsia="Times New Roman" w:hAnsi="Times New Roman" w:cs="Times New Roman"/>
          <w:color w:val="0E101A"/>
          <w:sz w:val="24"/>
          <w:szCs w:val="24"/>
        </w:rPr>
        <w:lastRenderedPageBreak/>
        <w:t>they are bribery in disguise and encourage doctors to put personal economic benefits before what is best for the patients. As the case text has mentioned, in the year 2003 alone Merck spent $422 million to market Vioxx to doctors and hospitals. Doctors and hospitals have the trust of their patients and should act in the best interests of their patients, but with so much influence from the pharmaceutical giants, doctors and hospitals are becoming predators preying on the patients for economic benefits they could get from pharmaceutical companies in return.</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It is very disappointing when hundreds of millions of people around the world are in desperate need of medical help, the pharmaceutical companies are spending hundreds of millions of dollars marketing their products using all kinds of unethical means, and based the information in the case text Merck’s marketing and advertising of Vioxx are typical examples of unethical and socially irresponsible practices.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AE1111" w:rsidRPr="00AE1111" w:rsidRDefault="005E33AF" w:rsidP="005E33AF">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 xml:space="preserve">4. </w:t>
      </w:r>
      <w:r w:rsidR="00AE1111" w:rsidRPr="005E33AF">
        <w:rPr>
          <w:rFonts w:ascii="Times New Roman" w:eastAsia="Times New Roman" w:hAnsi="Times New Roman" w:cs="Times New Roman"/>
          <w:b/>
          <w:bCs/>
          <w:color w:val="0E101A"/>
          <w:sz w:val="24"/>
          <w:szCs w:val="24"/>
        </w:rPr>
        <w:t>Social responsibility issues regarding Vioxx in its relationships with government policymakers and regulators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The government’s role in the economic and social system is to promote economic growth and social welfare and protect the vulnerable participants in the market. Compared to wealthy pharmaceutical giants, consumers are obviously the vulnerable participants in the medicine market, considering that many of those consumers are patients with serious health problems. Pharmaceutical companies, Therefore, when large pharmaceutical companies like Merck spend hundreds of millions of dollars influencing governments instead of helping the weak and vulnerable patients get more medical help, the governments’ promotion of good welfare system and protection of the patients would be weakened, making the economic and social system more unethical.</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lastRenderedPageBreak/>
        <w:t>  The case text suggests that Merck might have influenced the FDA to help it delay and downplay the warning about Vioxx’s dangerous side-effect and stop certain scientists from exposing the side-effect. A socially responsible business entity should act in a way that helps protect the interests of its stakeholders. With regard to Vioxx, Merck not only failed to protect the interests of many of its stakeholders but also tried to influence government agencies to help it cover-up the harms it had done to the stakeholders and in way harm, many of its stakeholders more as their comprehension of Vioxx’s lethal defects got further delayed. Making matters worse, when FDA began to become worried about Vioxx’s serious cardiovascular side-effect in 2002 and asked Merck to put on certain warning on the product’s label, Merck, who knew about the dangers of Vioxx way earlier than FDA, did not willingly cooperate to help FDA, a government agency, protect the interests of the patients and the general public. Instead, Merck tried its best to hamper the FDA’s efforts to give many stakeholders as much information and protection as possible with long-lasting negotiations about the wording of the warning, which seem like a de facto tactic used by Merck to maximize its economic interests by delaying the warning label as long as possible while Vioxx was already released into the market at the time and was earning huge profits for Merck.</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AE1111" w:rsidRPr="00AE1111" w:rsidRDefault="005E33AF" w:rsidP="005E33AF">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 xml:space="preserve">5. </w:t>
      </w:r>
      <w:r w:rsidR="00AE1111" w:rsidRPr="005E33AF">
        <w:rPr>
          <w:rFonts w:ascii="Times New Roman" w:eastAsia="Times New Roman" w:hAnsi="Times New Roman" w:cs="Times New Roman"/>
          <w:b/>
          <w:bCs/>
          <w:color w:val="0E101A"/>
          <w:sz w:val="24"/>
          <w:szCs w:val="24"/>
        </w:rPr>
        <w:t>Merck's voluntary public recall of Vioxx</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xml:space="preserve">despite all the conflicting issues in regard to ethics and social responsibility, in Vioxx’s development phase, its marketing and advertising, and influence Merck exerted on government policymakers and regulators to help Vioxx stay in the markets with as little information about its lethal side-effect known to the external stakeholders as possible, Merck finally made an ethical and socially responsible decision to admit Vioxx has a serious defect and recall it from the </w:t>
      </w:r>
      <w:r w:rsidRPr="00AE1111">
        <w:rPr>
          <w:rFonts w:ascii="Times New Roman" w:eastAsia="Times New Roman" w:hAnsi="Times New Roman" w:cs="Times New Roman"/>
          <w:color w:val="0E101A"/>
          <w:sz w:val="24"/>
          <w:szCs w:val="24"/>
        </w:rPr>
        <w:lastRenderedPageBreak/>
        <w:t>market. The action of recalling Vioxx from the market would in the long-run benefit most of the company’s stakeholders who also are the most important stakeholders. These stakeholders include the company’s customers and their family members, shareholders, and the general public. Although these stakeholders were seriously harmed by Merck's previous unethical and socially irresponsible actions, they are going to benefit from Merck’s efforts to right its wrongs because if Merck kept delaying the inevitable move they would be in an even much worse state.</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The recalling of Vioxx from the market is Merck’s first move to put its stakeholders’ benefits before the company’s own economic benefits. As we have learned from this course, corporate social responsibility takes the form of either an integration of economic, social, and environmental interests or a trade-off among the three. When Merck’s management decided to recall Vioxx from the market, it means they had decided to accept the hundreds of millions of dollars of economic losses, and many subsequent legal troubles and potential penalties and punishments, in order to stop the bleeding of many of its stakeholders. This decision is not an easy one, taken into consideration how many controversial things Merck had done with regard to Vioxx to keep this product in the market with no warnings.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 xml:space="preserve">Merck’s recalling of Vioxx also means the pharmaceutical company decided to voluntarily choose the more ethical and more socially responsible but economically unfavorable path for the first time regarding its controversial product. Merck’s management was given an option by its experts to choose another much more moderate way to finally face Vioxx’s shameful side-effect, which is to put an explicit and honest warning on the product’s label, and arguably, this proposal could also be considered somewhat ethical and socially responsible, especially in comparison with what Merck has dong previously. However, Merck’s management decided to face the long-lasting issue in the much harder and much more socially responsible way, namely the recall of </w:t>
      </w:r>
      <w:r w:rsidRPr="00AE1111">
        <w:rPr>
          <w:rFonts w:ascii="Times New Roman" w:eastAsia="Times New Roman" w:hAnsi="Times New Roman" w:cs="Times New Roman"/>
          <w:color w:val="0E101A"/>
          <w:sz w:val="24"/>
          <w:szCs w:val="24"/>
        </w:rPr>
        <w:lastRenderedPageBreak/>
        <w:t>Vioxx. In my opinion, this action would mean that Merck finally started to show some serious social responsibility in its actions.</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5E33AF" w:rsidRDefault="005E33AF" w:rsidP="005E33AF">
      <w:pPr>
        <w:spacing w:after="0" w:line="480" w:lineRule="auto"/>
        <w:rPr>
          <w:rFonts w:ascii="Times New Roman" w:eastAsia="Times New Roman" w:hAnsi="Times New Roman" w:cs="Times New Roman"/>
          <w:color w:val="0E101A"/>
          <w:sz w:val="24"/>
          <w:szCs w:val="24"/>
        </w:rPr>
      </w:pPr>
    </w:p>
    <w:p w:rsidR="00AE1111" w:rsidRPr="00AE1111" w:rsidRDefault="005E33AF" w:rsidP="005E33AF">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                                                             </w:t>
      </w:r>
      <w:r w:rsidR="00AE1111" w:rsidRPr="00AE1111">
        <w:rPr>
          <w:rFonts w:ascii="Times New Roman" w:eastAsia="Times New Roman" w:hAnsi="Times New Roman" w:cs="Times New Roman"/>
          <w:color w:val="0E101A"/>
          <w:sz w:val="24"/>
          <w:szCs w:val="24"/>
        </w:rPr>
        <w:t>Reference</w:t>
      </w:r>
    </w:p>
    <w:p w:rsidR="005E33AF" w:rsidRPr="00AE1111" w:rsidRDefault="005E33AF" w:rsidP="005E33AF">
      <w:pPr>
        <w:numPr>
          <w:ilvl w:val="0"/>
          <w:numId w:val="3"/>
        </w:num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Braendle, U. C., &amp; Noll, J. (2005). A fig leaf for the naked corporation. </w:t>
      </w:r>
      <w:r w:rsidRPr="005E33AF">
        <w:rPr>
          <w:rFonts w:ascii="Times New Roman" w:eastAsia="Times New Roman" w:hAnsi="Times New Roman" w:cs="Times New Roman"/>
          <w:i/>
          <w:iCs/>
          <w:color w:val="0E101A"/>
          <w:sz w:val="24"/>
          <w:szCs w:val="24"/>
        </w:rPr>
        <w:t>Journal of Management &amp; Governance</w:t>
      </w:r>
      <w:r w:rsidRPr="00AE1111">
        <w:rPr>
          <w:rFonts w:ascii="Times New Roman" w:eastAsia="Times New Roman" w:hAnsi="Times New Roman" w:cs="Times New Roman"/>
          <w:color w:val="0E101A"/>
          <w:sz w:val="24"/>
          <w:szCs w:val="24"/>
        </w:rPr>
        <w:t>, </w:t>
      </w:r>
      <w:r w:rsidRPr="005E33AF">
        <w:rPr>
          <w:rFonts w:ascii="Times New Roman" w:eastAsia="Times New Roman" w:hAnsi="Times New Roman" w:cs="Times New Roman"/>
          <w:i/>
          <w:iCs/>
          <w:color w:val="0E101A"/>
          <w:sz w:val="24"/>
          <w:szCs w:val="24"/>
        </w:rPr>
        <w:t>9</w:t>
      </w:r>
      <w:r w:rsidRPr="00AE1111">
        <w:rPr>
          <w:rFonts w:ascii="Times New Roman" w:eastAsia="Times New Roman" w:hAnsi="Times New Roman" w:cs="Times New Roman"/>
          <w:color w:val="0E101A"/>
          <w:sz w:val="24"/>
          <w:szCs w:val="24"/>
        </w:rPr>
        <w:t>(1), 79-99.</w:t>
      </w:r>
    </w:p>
    <w:p w:rsidR="005E33AF" w:rsidRPr="00AE1111" w:rsidRDefault="005E33AF" w:rsidP="005E33AF">
      <w:pPr>
        <w:numPr>
          <w:ilvl w:val="0"/>
          <w:numId w:val="3"/>
        </w:numPr>
        <w:spacing w:after="0" w:line="480" w:lineRule="auto"/>
        <w:rPr>
          <w:rFonts w:ascii="Times New Roman" w:eastAsia="Times New Roman" w:hAnsi="Times New Roman" w:cs="Times New Roman"/>
          <w:color w:val="0E101A"/>
          <w:sz w:val="24"/>
          <w:szCs w:val="24"/>
        </w:rPr>
      </w:pPr>
      <w:r w:rsidRPr="00AE1111">
        <w:rPr>
          <w:rFonts w:ascii="Times New Roman" w:eastAsia="Times New Roman" w:hAnsi="Times New Roman" w:cs="Times New Roman"/>
          <w:color w:val="0E101A"/>
          <w:sz w:val="24"/>
          <w:szCs w:val="24"/>
        </w:rPr>
        <w:t>Lawrence, A., &amp; Weber, J. (2014). </w:t>
      </w:r>
      <w:r w:rsidRPr="005E33AF">
        <w:rPr>
          <w:rFonts w:ascii="Times New Roman" w:eastAsia="Times New Roman" w:hAnsi="Times New Roman" w:cs="Times New Roman"/>
          <w:i/>
          <w:iCs/>
          <w:color w:val="0E101A"/>
          <w:sz w:val="24"/>
          <w:szCs w:val="24"/>
        </w:rPr>
        <w:t>Business and Society: Stakeholders, ethics, and public policy</w:t>
      </w:r>
      <w:r w:rsidRPr="00AE1111">
        <w:rPr>
          <w:rFonts w:ascii="Times New Roman" w:eastAsia="Times New Roman" w:hAnsi="Times New Roman" w:cs="Times New Roman"/>
          <w:color w:val="0E101A"/>
          <w:sz w:val="24"/>
          <w:szCs w:val="24"/>
        </w:rPr>
        <w:t xml:space="preserve"> (14th </w:t>
      </w:r>
      <w:proofErr w:type="spellStart"/>
      <w:proofErr w:type="gramStart"/>
      <w:r w:rsidRPr="00AE1111">
        <w:rPr>
          <w:rFonts w:ascii="Times New Roman" w:eastAsia="Times New Roman" w:hAnsi="Times New Roman" w:cs="Times New Roman"/>
          <w:color w:val="0E101A"/>
          <w:sz w:val="24"/>
          <w:szCs w:val="24"/>
        </w:rPr>
        <w:t>ed</w:t>
      </w:r>
      <w:proofErr w:type="spellEnd"/>
      <w:proofErr w:type="gramEnd"/>
      <w:r w:rsidRPr="00AE1111">
        <w:rPr>
          <w:rFonts w:ascii="Times New Roman" w:eastAsia="Times New Roman" w:hAnsi="Times New Roman" w:cs="Times New Roman"/>
          <w:color w:val="0E101A"/>
          <w:sz w:val="24"/>
          <w:szCs w:val="24"/>
        </w:rPr>
        <w:t>). New York, NY: McGraw-Hill Higher Education.</w:t>
      </w:r>
    </w:p>
    <w:p w:rsidR="00AE1111" w:rsidRPr="00AE1111" w:rsidRDefault="00AE1111" w:rsidP="005E33AF">
      <w:pPr>
        <w:spacing w:after="0" w:line="480" w:lineRule="auto"/>
        <w:rPr>
          <w:rFonts w:ascii="Times New Roman" w:eastAsia="Times New Roman" w:hAnsi="Times New Roman" w:cs="Times New Roman"/>
          <w:color w:val="0E101A"/>
          <w:sz w:val="24"/>
          <w:szCs w:val="24"/>
        </w:rPr>
      </w:pPr>
    </w:p>
    <w:p w:rsidR="000F75F4" w:rsidRPr="005E33AF" w:rsidRDefault="000F75F4" w:rsidP="005E33AF">
      <w:pPr>
        <w:spacing w:line="480" w:lineRule="auto"/>
        <w:rPr>
          <w:rFonts w:ascii="Times New Roman" w:hAnsi="Times New Roman" w:cs="Times New Roman"/>
          <w:sz w:val="24"/>
          <w:szCs w:val="24"/>
        </w:rPr>
      </w:pPr>
    </w:p>
    <w:sectPr w:rsidR="000F75F4" w:rsidRPr="005E33AF" w:rsidSect="00AE111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070" w:rsidRDefault="003C3070" w:rsidP="00AE1111">
      <w:pPr>
        <w:spacing w:after="0" w:line="240" w:lineRule="auto"/>
      </w:pPr>
      <w:r>
        <w:separator/>
      </w:r>
    </w:p>
  </w:endnote>
  <w:endnote w:type="continuationSeparator" w:id="0">
    <w:p w:rsidR="003C3070" w:rsidRDefault="003C3070" w:rsidP="00AE1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070" w:rsidRDefault="003C3070" w:rsidP="00AE1111">
      <w:pPr>
        <w:spacing w:after="0" w:line="240" w:lineRule="auto"/>
      </w:pPr>
      <w:r>
        <w:separator/>
      </w:r>
    </w:p>
  </w:footnote>
  <w:footnote w:type="continuationSeparator" w:id="0">
    <w:p w:rsidR="003C3070" w:rsidRDefault="003C3070" w:rsidP="00AE11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11" w:rsidRDefault="00AE1111">
    <w:pPr>
      <w:pStyle w:val="Header"/>
      <w:jc w:val="right"/>
    </w:pPr>
    <w:r>
      <w:rPr>
        <w:rFonts w:ascii="OpenSans" w:eastAsia="Times New Roman" w:hAnsi="OpenSans" w:cs="Times New Roman"/>
        <w:color w:val="2D2D2D"/>
        <w:lang w:val="en-CA"/>
      </w:rPr>
      <w:t>I</w:t>
    </w:r>
    <w:r w:rsidRPr="00597566">
      <w:rPr>
        <w:rFonts w:ascii="OpenSans" w:eastAsia="Times New Roman" w:hAnsi="OpenSans" w:cs="Times New Roman"/>
        <w:color w:val="2D2D2D"/>
        <w:lang w:val="en-CA"/>
      </w:rPr>
      <w:t>ssues relating to internal stakeholders and internal forces in organizations</w:t>
    </w:r>
    <w:r>
      <w:t xml:space="preserve">                               </w:t>
    </w:r>
    <w:sdt>
      <w:sdtPr>
        <w:id w:val="1344364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33AF">
          <w:rPr>
            <w:noProof/>
          </w:rPr>
          <w:t>13</w:t>
        </w:r>
        <w:r>
          <w:rPr>
            <w:noProof/>
          </w:rPr>
          <w:fldChar w:fldCharType="end"/>
        </w:r>
      </w:sdtContent>
    </w:sdt>
  </w:p>
  <w:p w:rsidR="00AE1111" w:rsidRDefault="00AE11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11" w:rsidRDefault="00AE1111">
    <w:pPr>
      <w:pStyle w:val="Header"/>
      <w:jc w:val="right"/>
    </w:pPr>
    <w:r>
      <w:t xml:space="preserve">RUNNING HEAD: </w:t>
    </w:r>
    <w:r w:rsidRPr="00597566">
      <w:rPr>
        <w:rFonts w:ascii="OpenSans" w:eastAsia="Times New Roman" w:hAnsi="OpenSans" w:cs="Times New Roman"/>
        <w:color w:val="2D2D2D"/>
        <w:lang w:val="en-CA"/>
      </w:rPr>
      <w:t>issues relating to internal stakeholders and internal forces in organizations</w:t>
    </w:r>
    <w:r>
      <w:t xml:space="preserve">        </w:t>
    </w:r>
    <w:sdt>
      <w:sdtPr>
        <w:id w:val="-5133050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33AF">
          <w:rPr>
            <w:noProof/>
          </w:rPr>
          <w:t>1</w:t>
        </w:r>
        <w:r>
          <w:rPr>
            <w:noProof/>
          </w:rPr>
          <w:fldChar w:fldCharType="end"/>
        </w:r>
      </w:sdtContent>
    </w:sdt>
  </w:p>
  <w:p w:rsidR="00AE1111" w:rsidRDefault="00AE11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E0C85"/>
    <w:multiLevelType w:val="hybridMultilevel"/>
    <w:tmpl w:val="E08E5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AF0B83"/>
    <w:multiLevelType w:val="multilevel"/>
    <w:tmpl w:val="A308F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B675EF"/>
    <w:multiLevelType w:val="hybridMultilevel"/>
    <w:tmpl w:val="1A66F92A"/>
    <w:lvl w:ilvl="0" w:tplc="A4C6D0E2">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9F1"/>
    <w:rsid w:val="000F75F4"/>
    <w:rsid w:val="00231B5B"/>
    <w:rsid w:val="00233512"/>
    <w:rsid w:val="00374330"/>
    <w:rsid w:val="003C3070"/>
    <w:rsid w:val="0043633D"/>
    <w:rsid w:val="004D0BB4"/>
    <w:rsid w:val="005E33AF"/>
    <w:rsid w:val="007E4C25"/>
    <w:rsid w:val="008F22FD"/>
    <w:rsid w:val="00932F24"/>
    <w:rsid w:val="00A73C84"/>
    <w:rsid w:val="00AE1111"/>
    <w:rsid w:val="00B658D0"/>
    <w:rsid w:val="00B805C2"/>
    <w:rsid w:val="00C23327"/>
    <w:rsid w:val="00CD618F"/>
    <w:rsid w:val="00D418F3"/>
    <w:rsid w:val="00D75646"/>
    <w:rsid w:val="00D9624D"/>
    <w:rsid w:val="00DB59F1"/>
    <w:rsid w:val="00E64991"/>
    <w:rsid w:val="00E722B4"/>
    <w:rsid w:val="00F92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5015D-860D-4E5D-8317-FD9C4E6B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4C25"/>
    <w:rPr>
      <w:rFonts w:ascii="Times New Roman" w:hAnsi="Times New Roman" w:cs="Times New Roman"/>
      <w:sz w:val="24"/>
      <w:szCs w:val="24"/>
    </w:rPr>
  </w:style>
  <w:style w:type="paragraph" w:styleId="ListParagraph">
    <w:name w:val="List Paragraph"/>
    <w:basedOn w:val="Normal"/>
    <w:uiPriority w:val="34"/>
    <w:qFormat/>
    <w:rsid w:val="00932F24"/>
    <w:pPr>
      <w:ind w:left="720"/>
      <w:contextualSpacing/>
    </w:pPr>
  </w:style>
  <w:style w:type="character" w:styleId="Strong">
    <w:name w:val="Strong"/>
    <w:basedOn w:val="DefaultParagraphFont"/>
    <w:uiPriority w:val="22"/>
    <w:qFormat/>
    <w:rsid w:val="00AE1111"/>
    <w:rPr>
      <w:b/>
      <w:bCs/>
    </w:rPr>
  </w:style>
  <w:style w:type="character" w:styleId="Emphasis">
    <w:name w:val="Emphasis"/>
    <w:basedOn w:val="DefaultParagraphFont"/>
    <w:uiPriority w:val="20"/>
    <w:qFormat/>
    <w:rsid w:val="00AE1111"/>
    <w:rPr>
      <w:i/>
      <w:iCs/>
    </w:rPr>
  </w:style>
  <w:style w:type="paragraph" w:styleId="Header">
    <w:name w:val="header"/>
    <w:basedOn w:val="Normal"/>
    <w:link w:val="HeaderChar"/>
    <w:uiPriority w:val="99"/>
    <w:unhideWhenUsed/>
    <w:rsid w:val="00AE11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111"/>
  </w:style>
  <w:style w:type="paragraph" w:styleId="Footer">
    <w:name w:val="footer"/>
    <w:basedOn w:val="Normal"/>
    <w:link w:val="FooterChar"/>
    <w:uiPriority w:val="99"/>
    <w:unhideWhenUsed/>
    <w:rsid w:val="00AE11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184857">
      <w:bodyDiv w:val="1"/>
      <w:marLeft w:val="0"/>
      <w:marRight w:val="0"/>
      <w:marTop w:val="0"/>
      <w:marBottom w:val="0"/>
      <w:divBdr>
        <w:top w:val="none" w:sz="0" w:space="0" w:color="auto"/>
        <w:left w:val="none" w:sz="0" w:space="0" w:color="auto"/>
        <w:bottom w:val="none" w:sz="0" w:space="0" w:color="auto"/>
        <w:right w:val="none" w:sz="0" w:space="0" w:color="auto"/>
      </w:divBdr>
    </w:div>
    <w:div w:id="459611193">
      <w:bodyDiv w:val="1"/>
      <w:marLeft w:val="0"/>
      <w:marRight w:val="0"/>
      <w:marTop w:val="0"/>
      <w:marBottom w:val="0"/>
      <w:divBdr>
        <w:top w:val="none" w:sz="0" w:space="0" w:color="auto"/>
        <w:left w:val="none" w:sz="0" w:space="0" w:color="auto"/>
        <w:bottom w:val="none" w:sz="0" w:space="0" w:color="auto"/>
        <w:right w:val="none" w:sz="0" w:space="0" w:color="auto"/>
      </w:divBdr>
    </w:div>
    <w:div w:id="1157040899">
      <w:bodyDiv w:val="1"/>
      <w:marLeft w:val="0"/>
      <w:marRight w:val="0"/>
      <w:marTop w:val="0"/>
      <w:marBottom w:val="0"/>
      <w:divBdr>
        <w:top w:val="none" w:sz="0" w:space="0" w:color="auto"/>
        <w:left w:val="none" w:sz="0" w:space="0" w:color="auto"/>
        <w:bottom w:val="none" w:sz="0" w:space="0" w:color="auto"/>
        <w:right w:val="none" w:sz="0" w:space="0" w:color="auto"/>
      </w:divBdr>
    </w:div>
    <w:div w:id="1759474507">
      <w:bodyDiv w:val="1"/>
      <w:marLeft w:val="0"/>
      <w:marRight w:val="0"/>
      <w:marTop w:val="0"/>
      <w:marBottom w:val="0"/>
      <w:divBdr>
        <w:top w:val="none" w:sz="0" w:space="0" w:color="auto"/>
        <w:left w:val="none" w:sz="0" w:space="0" w:color="auto"/>
        <w:bottom w:val="none" w:sz="0" w:space="0" w:color="auto"/>
        <w:right w:val="none" w:sz="0" w:space="0" w:color="auto"/>
      </w:divBdr>
    </w:div>
    <w:div w:id="18010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13</Pages>
  <Words>2751</Words>
  <Characters>15685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2020-05-15T07:15:00Z</dcterms:created>
  <dcterms:modified xsi:type="dcterms:W3CDTF">2020-05-15T10:56:00Z</dcterms:modified>
</cp:coreProperties>
</file>